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BE6F7"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ПОЛІТИКА КОНФІДЕНЦІЙНОСТІ</w:t>
      </w:r>
    </w:p>
    <w:p w14:paraId="6F71A31B" w14:textId="7372CE56" w:rsidR="00100A50"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LotEazy</w:t>
      </w:r>
    </w:p>
    <w:p w14:paraId="79D324A1" w14:textId="77777777" w:rsidR="00100A50" w:rsidRPr="005125F8" w:rsidRDefault="00100A50" w:rsidP="00670817">
      <w:pPr>
        <w:spacing w:after="0"/>
        <w:jc w:val="both"/>
        <w:rPr>
          <w:rFonts w:ascii="Times New Roman" w:hAnsi="Times New Roman" w:cs="Times New Roman"/>
          <w:sz w:val="24"/>
          <w:szCs w:val="24"/>
        </w:rPr>
      </w:pPr>
    </w:p>
    <w:p w14:paraId="4325F08D" w14:textId="1660C572"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Оператор/володілець персональних даних: Добжанський Іван Олександрович (фізична особа; на дату цієї редакції державна реєстрація ФОП не здійснена)</w:t>
      </w:r>
    </w:p>
    <w:p w14:paraId="76AB1AFB" w14:textId="529E9C50" w:rsidR="00886BD4" w:rsidRPr="005125F8" w:rsidRDefault="005E3ECE" w:rsidP="00670817">
      <w:pPr>
        <w:spacing w:after="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1. НА ЩО ПОШИРЮЄТЬСЯ </w:t>
      </w:r>
      <w:r>
        <w:rPr>
          <w:rFonts w:ascii="Times New Roman" w:hAnsi="Times New Roman" w:cs="Times New Roman"/>
          <w:b/>
          <w:bCs/>
          <w:sz w:val="24"/>
          <w:szCs w:val="24"/>
          <w:lang w:val="uk-UA"/>
        </w:rPr>
        <w:t xml:space="preserve">ЦЯ </w:t>
      </w:r>
      <w:r>
        <w:rPr>
          <w:rFonts w:ascii="Times New Roman" w:hAnsi="Times New Roman" w:cs="Times New Roman"/>
          <w:b/>
          <w:bCs/>
          <w:sz w:val="24"/>
          <w:szCs w:val="24"/>
          <w:lang w:val="ru-RU"/>
        </w:rPr>
        <w:t>ПОЛІТИКА</w:t>
      </w:r>
    </w:p>
    <w:p w14:paraId="1D3701E7"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1.1. Платформа LotEazy (далі — «Платформа») доступна за адресою https://www.loteazy.com та використовується суб'єктами господарювання для організації й проведення тендерних закупівель.</w:t>
      </w:r>
    </w:p>
    <w:p w14:paraId="6250B1FD"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1.2. Ця Політика застосовується до персональних даних, які Добжанський Іван Олександрович (фізична особа) як володілець персональних даних отримує під час реєстрації, використання Платформи, проведення тендерів, комунікації з підтримкою, оплати Послуг та використання додаткових каналів повідомлень.</w:t>
      </w:r>
    </w:p>
    <w:p w14:paraId="4CC92428"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1.3. Політика не визначає права на комерційні дані як такі та не змінює правил анонімності тендерів, встановлених Договором публічної оферти.</w:t>
      </w:r>
    </w:p>
    <w:p w14:paraId="5B7CE5ED"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2. ЯКІ ДАНІ МИ ОБРОБЛЯЄМО</w:t>
      </w:r>
    </w:p>
    <w:p w14:paraId="618D954E"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2.1. Реєстраційні та контактні дані: ПІБ, email, номер телефону, назва компанії, код ЄДРПОУ, регіон, роль Користувача.</w:t>
      </w:r>
    </w:p>
    <w:p w14:paraId="0FA5B3DF"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2.2. Дані Облікового запису: ідентифікатор користувача, дані автентифікації, налаштування акаунта, історія юридично значущих дій.</w:t>
      </w:r>
    </w:p>
    <w:p w14:paraId="62F22004"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2.3. Дані тендерів і пропозицій: інформація, внесена Користувачем у тендери, лоти та комерційні пропозиції, включаючи ціни, умови поставки та інші характеристики. Частина цих даних може бути комерційною та конфіденційною, навіть якщо вона не є персональними даними.</w:t>
      </w:r>
    </w:p>
    <w:p w14:paraId="7DC32785"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2.4. Технічні дані: IP-адреса, дата й час входу, ідентифікатори сесії, тип/версія браузера та пристрою, журнали технічних помилок, дані безпеки та технічної діагностики.</w:t>
      </w:r>
    </w:p>
    <w:p w14:paraId="42D01300"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2.5. Дані Telegram: ідентифікатор Telegram та технічні дані, необхідні для роботи підключеного Telegram-каналу.</w:t>
      </w:r>
    </w:p>
    <w:p w14:paraId="4375C03D"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2.6. Дані web push: унікальний endpoint/токен push-підписки, ідентифікатор підписки, технічні параметри браузера/пристрою та статус підписки. Push-канал підключається окремою активною дією Користувача.</w:t>
      </w:r>
    </w:p>
    <w:p w14:paraId="175CCAD1"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2.7. Дані згоди та акцепту: дата й час, IP-адреса, версія документа, ідентифікатор/текст відповідної згоди, дія enable/disable для окремого каналу та технічні дані, необхідні для підтвердження волевиявлення.</w:t>
      </w:r>
    </w:p>
    <w:p w14:paraId="5DDD618E"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2.8. Платіжні дані: інформація про факт, суму, статус та ідентифікатор платежу. Повні реквізити банківської картки обробляються платіжним провайдером, якщо інше прямо не зазначено на Платформі.</w:t>
      </w:r>
    </w:p>
    <w:p w14:paraId="10F4762E"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3. ЦІЛІ ТА ПРАВОВІ ПІДСТАВИ ОБРОБКИ</w:t>
      </w:r>
    </w:p>
    <w:p w14:paraId="0D668447"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3.1. Реєстрація та обслуговування Облікового запису — виконання Договору та здійснення дій до його укладення.</w:t>
      </w:r>
    </w:p>
    <w:p w14:paraId="30ED48C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3.2. Надання функціоналу Платформи, включаючи тендери, лоти, пропозиції, ролі команди, повідомлення та підтримку — виконання Договору.</w:t>
      </w:r>
    </w:p>
    <w:p w14:paraId="1A0E8C02"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3.3. Надсилання необхідних операційних повідомлень — виконання Договору та/або інша законна підстава, передбачена законодавством. Такі повідомлення можуть бути необхідними для функціонування сервісу.</w:t>
      </w:r>
    </w:p>
    <w:p w14:paraId="3B1DF0A9"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3.4. Маркетингові повідомлення — окрема правова підстава, а коли це вимагається законодавством, попередня згода Користувача. Відмова від маркетингових повідомлень не впливає на надання основних Послуг.</w:t>
      </w:r>
    </w:p>
    <w:p w14:paraId="06A64543"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3.5. Безпека, запобігання зловживанням, rate limiting, аудит подій та діагностика помилок — виконання Договору, захист прав та законних інтересів Виконавця та/або інша передбачена законом підстава.</w:t>
      </w:r>
    </w:p>
    <w:p w14:paraId="33BBC1DB"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3.6. Облік оплат, бухгалтерський та податковий облік — виконання юридичних обов'язків та/або виконання Договору.</w:t>
      </w:r>
    </w:p>
    <w:p w14:paraId="4508AFF9"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3.7. Підтвердження укладення та виконання електронного Договору — виконання Договору та захист прав Виконавця.</w:t>
      </w:r>
    </w:p>
    <w:p w14:paraId="7953ACE2"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3.8. Web push — надання окремого опційного каналу повідомлень на підставі активної дії Користувача (opt-in). Відмова або відкликання не блокує реєстрацію чи використання Платформи.</w:t>
      </w:r>
    </w:p>
    <w:p w14:paraId="1A1C5A9B"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3.9. Використання назви та логотипа Користувача у розділі «З нами працюють» — на підставі окремої згоди, передбаченої п. 9.6 Договору; згода може бути відкликана.</w:t>
      </w:r>
    </w:p>
    <w:p w14:paraId="4CCCB391"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4. АКЦЕПТ, ЗГОДИ ТА ЖУРНАЛ ЗГОДИ</w:t>
      </w:r>
    </w:p>
    <w:p w14:paraId="6411918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4.1. Акцепт Договору здійснюється окремим активним чекбоксом. Він не є автоматичною згодою на маркетингові повідомлення або необов'язковий push.</w:t>
      </w:r>
    </w:p>
    <w:p w14:paraId="110999D4"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4.2. Система зберігає consent_log/acceptance log, який може містити дату й час дії, IP-адресу, версію Договору/Політики, ідентифікатор користувача, тип згоди та результат дії.</w:t>
      </w:r>
    </w:p>
    <w:p w14:paraId="385F180F"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4.3. Запис про акцепт і юридично значущі згоди може зберігатися довше 90 днів після припинення акаунту, якщо це необхідно для підтвердження укладення/виконання Договору, виконання юридичних обов'язків або захисту прав.</w:t>
      </w:r>
    </w:p>
    <w:p w14:paraId="332ABA36"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4.4. Відкликання необов'язкової згоди фіксується в журналі. Відкликання не робить незаконною обробку, здійснену до моменту відкликання на належній правовій підставі.</w:t>
      </w:r>
    </w:p>
    <w:p w14:paraId="09367D64"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5. EMAIL, TELEGRAM ТА PUSH</w:t>
      </w:r>
    </w:p>
    <w:p w14:paraId="0A751BA8"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5.1. Email може використовуватися для реєстрації, підтвердження, безпеки, підтримки та операційних повідомлень. Для маркетингових повідомлень застосовується окремий механізм відмови/згоди відповідно до законодавства.</w:t>
      </w:r>
    </w:p>
    <w:p w14:paraId="49B2A398"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5.2. Telegram підключається окремою дією Користувача. Після підключення Telegram-ідентифікатор та необхідні технічні дані обробляються для доставки обраних повідомлень.</w:t>
      </w:r>
    </w:p>
    <w:p w14:paraId="653AD476"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5.3. Browser push активується лише після окремого opt-in Користувача та після надання браузером відповідного дозволу. Сам факт акцепту Договору не є автоматичною згодою на push. Згода на отримання push-сповіщень не може надаватися шляхом попередньо встановленого (pre-ticked) чекбокса. Така згода вважається наданою лише після вчинення Користувачем активної дії щодо її надання. Відмова від push-сповіщень не перешкоджає реєстрації або використанню Платформи.</w:t>
      </w:r>
    </w:p>
    <w:p w14:paraId="1CF58F55"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5.4. Користувач може вимкнути push через «Налаштування сповіщень» у своєму Обліковому записі та/або через налаштування браузера. Після відкликання Платформа припиняє ініціювати подальші push-повідомлення в межах технічних можливостей сервісу.</w:t>
      </w:r>
    </w:p>
    <w:p w14:paraId="138868E7"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5.5. Необов'язкові канали повідомлень не є умовою реєстрації.</w:t>
      </w:r>
    </w:p>
    <w:p w14:paraId="732D2228"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6. COOKIES ТА ПОДІБНІ ТЕХНОЛОГІЇ</w:t>
      </w:r>
    </w:p>
    <w:p w14:paraId="25845A3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6.1. Платформа використовує технічні cookies, необхідні для автентифікації, сесії, безпеки та коректної роботи сервісу.</w:t>
      </w:r>
    </w:p>
    <w:p w14:paraId="61867375" w14:textId="6B872D41"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6.2. На дату цієї редакції аналітичні та рекламні cookies/пікселі не використовуються. Якщо такі технології будуть додані, Політика та механізм повідомлення/згоди будуть оновлені до їх використання у випадках, коли це вимагається законом України.</w:t>
      </w:r>
    </w:p>
    <w:p w14:paraId="7E082A2A"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6.3. Технічні cookies можуть бути встановлені без окремої згоди, якщо вони є необхідними для запитаної Користувачем послуги; конкретний перелік і строки зберігання мають бути визначені технічною документацією Платформи.</w:t>
      </w:r>
    </w:p>
    <w:p w14:paraId="1A468538"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7. ОДЕРЖУВАЧІ ТА ПРОЦЕСОРИ</w:t>
      </w:r>
    </w:p>
    <w:p w14:paraId="1E7187D8"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7.1. Для роботи Платформи Виконавець може залучати постачальників інфраструктури та інших процесорів. Їх роль, категорії даних і цілі мають відповідати фактичній архітектурі.</w:t>
      </w:r>
    </w:p>
    <w:p w14:paraId="04751C6D"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Supabase</w:t>
      </w:r>
      <w:r>
        <w:rPr>
          <w:rFonts w:ascii="Times New Roman" w:hAnsi="Times New Roman" w:cs="Times New Roman"/>
          <w:sz w:val="24"/>
          <w:szCs w:val="24"/>
        </w:rPr>
        <w:t xml:space="preserve"> — база даних/автентифікація та пов'язані інфраструктурні сервіси; регіон зберігання має відповідати фактичній конфігурації.</w:t>
      </w:r>
    </w:p>
    <w:p w14:paraId="1BD0227E"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Vercel</w:t>
      </w:r>
      <w:r>
        <w:rPr>
          <w:rFonts w:ascii="Times New Roman" w:hAnsi="Times New Roman" w:cs="Times New Roman"/>
          <w:sz w:val="24"/>
          <w:szCs w:val="24"/>
        </w:rPr>
        <w:t xml:space="preserve"> — хостинг та edge/інфраструктурні функції.</w:t>
      </w:r>
    </w:p>
    <w:p w14:paraId="1AC80BA6"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Resend </w:t>
      </w:r>
      <w:r>
        <w:rPr>
          <w:rFonts w:ascii="Times New Roman" w:hAnsi="Times New Roman" w:cs="Times New Roman"/>
          <w:sz w:val="24"/>
          <w:szCs w:val="24"/>
        </w:rPr>
        <w:t xml:space="preserve">— надсилання email.</w:t>
      </w:r>
    </w:p>
    <w:p w14:paraId="0773AAE9"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Anthropic</w:t>
      </w:r>
      <w:r>
        <w:rPr>
          <w:rFonts w:ascii="Times New Roman" w:hAnsi="Times New Roman" w:cs="Times New Roman"/>
          <w:sz w:val="24"/>
          <w:szCs w:val="24"/>
        </w:rPr>
        <w:t xml:space="preserve"> — AI-функціонал, лише в обсязі даних, фактично переданих до відповідного AI-сервісу.</w:t>
      </w:r>
    </w:p>
    <w:p w14:paraId="7B706AAF"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Sentry</w:t>
      </w:r>
      <w:r>
        <w:rPr>
          <w:rFonts w:ascii="Times New Roman" w:hAnsi="Times New Roman" w:cs="Times New Roman"/>
          <w:sz w:val="24"/>
          <w:szCs w:val="24"/>
        </w:rPr>
        <w:t xml:space="preserve"> — моніторинг технічних помилок та діагностика.</w:t>
      </w:r>
    </w:p>
    <w:p w14:paraId="22B9A4B3"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Upstash </w:t>
      </w:r>
      <w:r>
        <w:rPr>
          <w:rFonts w:ascii="Times New Roman" w:hAnsi="Times New Roman" w:cs="Times New Roman"/>
          <w:sz w:val="24"/>
          <w:szCs w:val="24"/>
        </w:rPr>
        <w:t xml:space="preserve">— технічні функції rate limiting/кешування, якщо фактично використовуються.</w:t>
      </w:r>
    </w:p>
    <w:p w14:paraId="46F03ADF"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Telegram </w:t>
      </w:r>
      <w:r>
        <w:rPr>
          <w:rFonts w:ascii="Times New Roman" w:hAnsi="Times New Roman" w:cs="Times New Roman"/>
          <w:sz w:val="24"/>
          <w:szCs w:val="24"/>
        </w:rPr>
        <w:t xml:space="preserve">— доставка повідомлень після окремого підключення користувачем.</w:t>
      </w:r>
    </w:p>
    <w:p w14:paraId="090F60AC" w14:textId="2B43FD6C" w:rsidR="00886BD4" w:rsidRPr="005125F8" w:rsidRDefault="005E3ECE" w:rsidP="00670817">
      <w:pPr>
        <w:pStyle w:val="ae"/>
        <w:numPr>
          <w:ilvl w:val="0"/>
          <w:numId w:val="11"/>
        </w:numPr>
        <w:spacing w:after="0"/>
        <w:ind w:left="284"/>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Платіжний провайдер (зокрема </w:t>
      </w:r>
      <w:r>
        <w:rPr>
          <w:rFonts w:ascii="Times New Roman" w:hAnsi="Times New Roman" w:cs="Times New Roman"/>
          <w:i/>
          <w:iCs/>
          <w:sz w:val="24"/>
          <w:szCs w:val="24"/>
        </w:rPr>
        <w:t>LiqPay</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 — обробка платежів відповідно до його умов.</w:t>
      </w:r>
    </w:p>
    <w:p w14:paraId="2DFC49ED"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Nominatim/інший геосервіс</w:t>
      </w:r>
      <w:r>
        <w:rPr>
          <w:rFonts w:ascii="Times New Roman" w:hAnsi="Times New Roman" w:cs="Times New Roman"/>
          <w:sz w:val="24"/>
          <w:szCs w:val="24"/>
        </w:rPr>
        <w:t xml:space="preserve"> — лише якщо фактично використовується для пошуку/нормалізації географічних даних.</w:t>
      </w:r>
    </w:p>
    <w:p w14:paraId="42ACDFB7" w14:textId="77777777" w:rsidR="00886BD4" w:rsidRPr="005125F8" w:rsidRDefault="005E3ECE" w:rsidP="00670817">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Google FCM, Mozilla Autopush, Apple Push та/або інші push-інфраструктури</w:t>
      </w:r>
      <w:r>
        <w:rPr>
          <w:rFonts w:ascii="Times New Roman" w:hAnsi="Times New Roman" w:cs="Times New Roman"/>
          <w:sz w:val="24"/>
          <w:szCs w:val="24"/>
        </w:rPr>
        <w:t xml:space="preserve"> — залежно від браузера/пристрою та фактичної технології web push. Вони можуть отримувати технічні дані, необхідні для маршрутизації push-повідомлень.</w:t>
      </w:r>
    </w:p>
    <w:p>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Cloudflare</w:t>
      </w:r>
      <w:r>
        <w:rPr>
          <w:rFonts w:ascii="Times New Roman" w:hAnsi="Times New Roman" w:cs="Times New Roman"/>
          <w:sz w:val="24"/>
          <w:szCs w:val="24"/>
        </w:rPr>
        <w:t xml:space="preserve"> — DNS та мережева інфраструктура (зокрема для dev.loteazy.com).</w:t>
      </w:r>
    </w:p>
    <w:p>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NAIS (реєстр ЄДРПОУ)</w:t>
      </w:r>
      <w:r>
        <w:rPr>
          <w:rFonts w:ascii="Times New Roman" w:hAnsi="Times New Roman" w:cs="Times New Roman"/>
          <w:sz w:val="24"/>
          <w:szCs w:val="24"/>
        </w:rPr>
        <w:t xml:space="preserve"> — перевірка коду ЄДРПОУ контрагента за відкритими реєстраційними даними.</w:t>
      </w:r>
    </w:p>
    <w:p>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ring.org.ua</w:t>
      </w:r>
      <w:r>
        <w:rPr>
          <w:rFonts w:ascii="Times New Roman" w:hAnsi="Times New Roman" w:cs="Times New Roman"/>
          <w:sz w:val="24"/>
          <w:szCs w:val="24"/>
        </w:rPr>
        <w:t xml:space="preserve"> — перевірка відкритих реєстраційних даних компанії за кодом ЄДРПОУ.</w:t>
      </w:r>
    </w:p>
    <w:p>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edrpou.ubki.ua</w:t>
      </w:r>
      <w:r>
        <w:rPr>
          <w:rFonts w:ascii="Times New Roman" w:hAnsi="Times New Roman" w:cs="Times New Roman"/>
          <w:sz w:val="24"/>
          <w:szCs w:val="24"/>
        </w:rPr>
        <w:t xml:space="preserve"> — верифікація відкритих бізнес-даних контрагента.</w:t>
      </w:r>
    </w:p>
    <w:p>
      <w:pPr>
        <w:pStyle w:val="ae"/>
        <w:numPr>
          <w:ilvl w:val="0"/>
          <w:numId w:val="11"/>
        </w:numPr>
        <w:spacing w:after="0"/>
        <w:ind w:left="284"/>
        <w:jc w:val="both"/>
        <w:rPr>
          <w:rFonts w:ascii="Times New Roman" w:hAnsi="Times New Roman" w:cs="Times New Roman"/>
          <w:sz w:val="24"/>
          <w:szCs w:val="24"/>
        </w:rPr>
      </w:pPr>
      <w:r>
        <w:rPr>
          <w:rFonts w:ascii="Times New Roman" w:hAnsi="Times New Roman" w:cs="Times New Roman"/>
          <w:i/>
          <w:iCs/>
          <w:sz w:val="24"/>
          <w:szCs w:val="24"/>
        </w:rPr>
        <w:t xml:space="preserve">ukraine.com.ua</w:t>
      </w:r>
      <w:r>
        <w:rPr>
          <w:rFonts w:ascii="Times New Roman" w:hAnsi="Times New Roman" w:cs="Times New Roman"/>
          <w:sz w:val="24"/>
          <w:szCs w:val="24"/>
        </w:rPr>
        <w:t xml:space="preserve"> — отримання відкритих реєстраційних відомостей про контрагента.</w:t>
      </w:r>
    </w:p>
    <w:p w14:paraId="7D0F486B"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7.2. Усі наведені назви є переліком потенційно/фактично залучених сервісів і перед публікацією повинні бути звірені з реєстром процесорів та фактичною архітектурою. Не слід вказувати сервіс як процесора, якщо він не використовується.</w:t>
      </w:r>
    </w:p>
    <w:p w14:paraId="4E5A2203"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8. МІЖНАРОДНА ПЕРЕДАЧА ДАНИХ</w:t>
      </w:r>
    </w:p>
    <w:p w14:paraId="72D7B1B7" w14:textId="77777777" w:rsidR="00886BD4" w:rsidRPr="005125F8" w:rsidRDefault="005E3ECE" w:rsidP="00670817">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8.1. Окремі процесори можуть обробляти дані за межами України та Європейського Союзу, зокрема у США.</w:t>
      </w:r>
    </w:p>
    <w:p w14:paraId="57C9B782" w14:textId="3BE0199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8.2. Передача персональних даних іноземним суб'єктам здійснюється відповідно до ст. 29 Закону України «Про захист персональних даних»: за наявності належного рівня захисту або іншої передбаченої законом підстави, зокрема однозначної згоди суб'єкта, необхідності укладення/виконання правочину у випадках, передбачених законом, захисту життєво важливих інтересів, суспільного інтересу/правової вимоги або відповідних гарантій володільця. </w:t>
      </w:r>
    </w:p>
    <w:p w14:paraId="7091E425"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8.3. Для конкретних процесорів можуть застосовуватися договірні гарантії, стандартні договірні положення (SCC) або інші механізми, якщо вони є частиною фактичної договірної моделі відповідного постачальника. SCC не слід зазначати як фактичний механізм, якщо відповідний договір його не містить.</w:t>
      </w:r>
    </w:p>
    <w:p w14:paraId="27EA4B31" w14:textId="7D29F5C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8.4. Дані не передаються за межі мети, з якою вони були зібрані, крім випадків, передбачених чинним законодавством України.</w:t>
      </w:r>
    </w:p>
    <w:p w14:paraId="62535211"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9. СТРОКИ ЗБЕРІГАННЯ</w:t>
      </w:r>
    </w:p>
    <w:p w14:paraId="31804A04"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9.1. Дані активного Облікового запису — протягом строку дії Договору та до завершення необхідного періоду після його припинення.</w:t>
      </w:r>
    </w:p>
    <w:p w14:paraId="21A44E40"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9.2. Після припинення Договору персональні та інші дані акаунту видаляються протягом 90 календарних днів, якщо довше зберігання не потрібне для виконання юридичних обов'язків, захисту прав або іншої законної мети.</w:t>
      </w:r>
    </w:p>
    <w:p w14:paraId="375ABC13"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9.3. consent_log/акцепт та інші записи, необхідні для доказування правочину, можуть зберігатися довше 90 днів у межах строку, необхідного для відповідної юридичної мети.</w:t>
      </w:r>
    </w:p>
    <w:p w14:paraId="2EEE020A"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9.4. Знеособлені та агреговані дані, які не дозволяють прямо або опосередковано ідентифікувати конкретного Користувача або фізичну особу, можуть зберігатися безстроково для аналітики, статистики, формування цінових індексів та розвитку Платформи.</w:t>
      </w:r>
    </w:p>
    <w:p w14:paraId="7BD10B00" w14:textId="3FB7546C"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9.5. Платіжні, бухгалтерські та податкові документи зберігаються протягом строків, встановлених чинним законодавством України.</w:t>
      </w:r>
    </w:p>
    <w:p w14:paraId="1DA0093F"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9.6. Технічні логи зберігаються протягом строку, необхідного для безпеки, діагностики та доказування подій, з урахуванням принципу мінімізації.</w:t>
      </w:r>
    </w:p>
    <w:p w14:paraId="1F8F6E4F"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10. ПРАВА СУБ'ЄКТА ПЕРСОНАЛЬНИХ ДАНИХ</w:t>
      </w:r>
    </w:p>
    <w:p w14:paraId="5C879DE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10.1. Користувач має права, передбачені Законом України «Про захист персональних даних», зокрема право знати про джерела збирання, місцезнаходження своїх даних, мету їх обробки, умови доступу до них, отримувати інформацію про умови надання доступу та третіх осіб, яким передаються дані, а також вимагати зміну/видалення даних у передбачених законом випадках.</w:t>
      </w:r>
    </w:p>
    <w:p w14:paraId="59C23CAD"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10.2. Запит щодо персональних даних надсилається на support@loteazy.com з адреси, пов'язаної з Обліковим записом, або іншим способом, що дозволяє підтвердити особу заявника.</w:t>
      </w:r>
    </w:p>
    <w:p w14:paraId="0B9E9FCD"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10.3. Виконавець може попросити додаткові відомості, необхідні для ідентифікації заявника та запобігання розкриттю даних неналежній особі.</w:t>
      </w:r>
    </w:p>
    <w:p w14:paraId="5F6544FA"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10.4. Відкликання необов'язкової згоди може здійснюватися через відповідний перемикач/налаштування, посилання для відписки або email-запит — залежно від виду згоди.</w:t>
      </w:r>
    </w:p>
    <w:p w14:paraId="4B140BED"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11. БЕЗПЕКА</w:t>
      </w:r>
    </w:p>
    <w:p w14:paraId="5B1A6C85"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11.1. Виконавець застосовує організаційні та технічні заходи захисту, зокрема контроль доступу, автентифікацію, шифрування під час передачі, розмежування доступу між ролями, резервування/відновлення та моніторинг технічних подій у межах фактичної архітектури.</w:t>
      </w:r>
    </w:p>
    <w:p w14:paraId="1FC219F6"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11.2. Користувач відповідає за конфіденційність своїх облікових даних, безпеку пристрою та своєчасне повідомлення про підозрілу активність.</w:t>
      </w:r>
    </w:p>
    <w:p w14:paraId="746ABE91"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12. АНОНІМНІСТЬ ТЕНДЕРІВ</w:t>
      </w:r>
    </w:p>
    <w:p w14:paraId="3E1DB677"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12.1. Технічна архітектура Платформи передбачає розмежування доступу до даних Постачальників. Під час тендеру ідентифікаційні дані Постачальника не розкриваються Замовнику до моменту та на умовах, визначених Договором.</w:t>
      </w:r>
    </w:p>
    <w:p w14:paraId="14EDBB64"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12.2. Використання назви/логотипа Користувача для зазначення факту співпраці у розділі «З нами працюють» не означає розкриття участі в конкретному тендері.</w:t>
      </w:r>
    </w:p>
    <w:p w14:paraId="7F3A9BBA"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13. ЗНЕОСОБЛЕНІ ТА АГРЕГОВАНІ ДАНІ</w:t>
      </w:r>
    </w:p>
    <w:p w14:paraId="06753BD0"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13.1. Виконавець може створювати статистичні та агреговані набори даних шляхом знеособлення/узагальнення інформації.</w:t>
      </w:r>
    </w:p>
    <w:p w14:paraId="5A845D2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13.2. Такі дані не повинні дозволяти прямо або опосередковано ідентифікувати конкретного Користувача чи фізичну особу. Вони можуть використовуватися безстроково для аналітики, статистики, цінових індексів, досліджень ринку та вдосконалення Платформи.</w:t>
      </w:r>
    </w:p>
    <w:p w14:paraId="22F74D2F"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13.3. Якщо дані не були належним чином знеособлені, вони не вважаються агрегованими лише через їх об'єднання та продовжують оброблятися як персональні дані, якщо дозволяє це визначення.</w:t>
      </w:r>
    </w:p>
    <w:p w14:paraId="0458C2A5"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14. ДІТИ</w:t>
      </w:r>
    </w:p>
    <w:p w14:paraId="5C2FDAC1"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14.1. Платформа призначена для суб'єктів господарювання та не орієнтована на дітей. Реєстрація здійснюється особами, які мають необхідну цивільну дієздатність та повноваження діяти від імені відповідного суб'єкта господарювання.</w:t>
      </w:r>
    </w:p>
    <w:p w14:paraId="32E7FB66"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15. ЗМІНИ ДО ПОЛІТИКИ</w:t>
      </w:r>
    </w:p>
    <w:p w14:paraId="08A4575E" w14:textId="3D228ACF"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15.1. Виконавець може оновлювати цю Політику у разі зміни законодавства України, технологій, процесорів або функціоналу Платформи.</w:t>
      </w:r>
      <w:bookmarkStart w:id="0" w:name="_GoBack"/>
      <w:bookmarkEnd w:id="0"/>
    </w:p>
    <w:p w14:paraId="23B8666D"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15.2. Істотні зміни, які впливають на цілі або спосіб обробки персональних даних, доводяться до відома Користувачів до початку відповідної обробки у спосіб, що відповідає закону. Якщо для нової обробки необхідна згода, вона отримується окремо.</w:t>
      </w:r>
    </w:p>
    <w:p w14:paraId="743E1CB1"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15.3. Додавання необов'язкового каналу push саме по собі не означає автоматичного повторного акцепту Договору, якщо push підключається окремим opt-in і не змінює основних договірних умов. Однак при зміні цілей/правових підстав обробки застосовується п. 15.2.</w:t>
      </w:r>
    </w:p>
    <w:p w14:paraId="0DDF9BE1" w14:textId="77777777" w:rsidR="00886BD4" w:rsidRPr="005125F8" w:rsidRDefault="005E3ECE" w:rsidP="00670817">
      <w:pPr>
        <w:spacing w:after="0"/>
        <w:jc w:val="center"/>
        <w:rPr>
          <w:rFonts w:ascii="Times New Roman" w:hAnsi="Times New Roman" w:cs="Times New Roman"/>
          <w:b/>
          <w:bCs/>
          <w:sz w:val="24"/>
          <w:szCs w:val="24"/>
        </w:rPr>
      </w:pPr>
      <w:r>
        <w:rPr>
          <w:rFonts w:ascii="Times New Roman" w:hAnsi="Times New Roman" w:cs="Times New Roman"/>
          <w:b/>
          <w:bCs/>
          <w:sz w:val="24"/>
          <w:szCs w:val="24"/>
        </w:rPr>
        <w:t>16. КОНТАКТИ</w:t>
      </w:r>
    </w:p>
    <w:p w14:paraId="566BB7AA"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 xml:space="preserve">Володілець персональних даних: Добжанський Іван Олександрович (фізична особа)</w:t>
      </w:r>
    </w:p>
    <w:p w14:paraId="7D71E60C"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Email: support@loteazy.com</w:t>
      </w:r>
    </w:p>
    <w:p w14:paraId="15934CC7" w14:textId="77777777" w:rsidR="00886BD4" w:rsidRPr="005125F8" w:rsidRDefault="005E3ECE" w:rsidP="00670817">
      <w:pPr>
        <w:spacing w:after="0"/>
        <w:jc w:val="both"/>
        <w:rPr>
          <w:rFonts w:ascii="Times New Roman" w:hAnsi="Times New Roman" w:cs="Times New Roman"/>
          <w:sz w:val="24"/>
          <w:szCs w:val="24"/>
        </w:rPr>
      </w:pPr>
      <w:r>
        <w:rPr>
          <w:rFonts w:ascii="Times New Roman" w:hAnsi="Times New Roman" w:cs="Times New Roman"/>
          <w:sz w:val="24"/>
          <w:szCs w:val="24"/>
        </w:rPr>
        <w:t>Веб-сайт: https://www.loteazy.com</w:t>
      </w:r>
    </w:p>
    <w:p w14:paraId="7AD02EF9" w14:textId="77777777" w:rsidR="00946D77" w:rsidRPr="005125F8" w:rsidRDefault="005E3ECE" w:rsidP="00946D77">
      <w:pPr>
        <w:spacing w:after="0"/>
        <w:rPr>
          <w:rFonts w:ascii="Times New Roman" w:hAnsi="Times New Roman" w:cs="Times New Roman"/>
          <w:sz w:val="24"/>
          <w:szCs w:val="24"/>
          <w:lang w:val="uk-UA"/>
        </w:rPr>
      </w:pPr>
      <w:r>
        <w:rPr>
          <w:rFonts w:ascii="Times New Roman" w:hAnsi="Times New Roman" w:cs="Times New Roman"/>
          <w:sz w:val="24"/>
          <w:szCs w:val="24"/>
          <w:lang w:val="ru-RU"/>
        </w:rPr>
        <w:t xml:space="preserve">Адреса: </w:t>
      </w:r>
      <w:r>
        <w:rPr>
          <w:rFonts w:ascii="Times New Roman" w:hAnsi="Times New Roman" w:cs="Times New Roman"/>
          <w:sz w:val="24"/>
          <w:szCs w:val="24"/>
          <w:u w:val="single"/>
          <w:lang w:val="uk-UA"/>
        </w:rPr>
        <w:t>31635, Хмельницька область, Кам’янець-Подільський район, с. Сокиринці, вул. Молодіжна, буд.8</w:t>
      </w:r>
    </w:p>
    <w:p w14:paraId="7AE99D82" w14:textId="77777777" w:rsidR="00946D77" w:rsidRPr="005125F8" w:rsidRDefault="00946D77" w:rsidP="00946D77">
      <w:pPr>
        <w:spacing w:after="0"/>
        <w:jc w:val="both"/>
        <w:rPr>
          <w:rFonts w:ascii="Times New Roman" w:hAnsi="Times New Roman" w:cs="Times New Roman"/>
          <w:sz w:val="24"/>
          <w:szCs w:val="24"/>
          <w:u w:val="single"/>
          <w:lang w:val="uk-UA"/>
        </w:rPr>
      </w:pPr>
      <w:r>
        <w:rPr>
          <w:rFonts w:ascii="Times New Roman" w:hAnsi="Times New Roman" w:cs="Times New Roman"/>
          <w:sz w:val="24"/>
          <w:szCs w:val="24"/>
          <w:lang w:val="uk-UA"/>
        </w:rPr>
        <w:t xml:space="preserve">РНОКПП (ІПН): </w:t>
      </w:r>
      <w:r>
        <w:rPr>
          <w:rFonts w:ascii="Times New Roman" w:hAnsi="Times New Roman" w:cs="Times New Roman"/>
          <w:sz w:val="24"/>
          <w:szCs w:val="24"/>
          <w:u w:val="single"/>
          <w:lang w:val="uk-UA"/>
        </w:rPr>
        <w:t>3059304894</w:t>
      </w:r>
    </w:p>
    <w:p w14:paraId="648FD81C" w14:textId="6A5DE4E2" w:rsidR="00946D77" w:rsidRPr="005125F8" w:rsidRDefault="00946D77" w:rsidP="00946D77">
      <w:pPr>
        <w:spacing w:after="0"/>
        <w:jc w:val="both"/>
        <w:rPr>
          <w:rFonts w:ascii="Times New Roman" w:hAnsi="Times New Roman" w:cs="Times New Roman"/>
          <w:sz w:val="24"/>
          <w:szCs w:val="24"/>
          <w:u w:val="single"/>
          <w:lang w:val="uk-UA"/>
        </w:rPr>
      </w:pPr>
    </w:p>
    <w:p w14:paraId="2F22AB56" w14:textId="6013D809" w:rsidR="00946D77" w:rsidRPr="005125F8" w:rsidRDefault="00946D77" w:rsidP="00946D77">
      <w:pPr>
        <w:spacing w:after="0"/>
        <w:jc w:val="both"/>
        <w:rPr>
          <w:rFonts w:ascii="Times New Roman" w:hAnsi="Times New Roman" w:cs="Times New Roman"/>
          <w:sz w:val="24"/>
          <w:szCs w:val="24"/>
          <w:u w:val="single"/>
          <w:lang w:val="uk-UA"/>
        </w:rPr>
      </w:pPr>
    </w:p>
    <w:p w14:paraId="7453AA48" w14:textId="48B88444" w:rsidR="00946D77" w:rsidRPr="005125F8" w:rsidRDefault="00946D77" w:rsidP="00946D77">
      <w:pPr>
        <w:spacing w:after="0"/>
        <w:jc w:val="both"/>
        <w:rPr>
          <w:rFonts w:ascii="Times New Roman" w:hAnsi="Times New Roman" w:cs="Times New Roman"/>
          <w:sz w:val="24"/>
          <w:szCs w:val="24"/>
          <w:u w:val="single"/>
          <w:lang w:val="uk-UA"/>
        </w:rPr>
      </w:pPr>
    </w:p>
    <w:p w14:paraId="69B70522" w14:textId="2D4CE0CA" w:rsidR="00946D77" w:rsidRPr="005125F8" w:rsidRDefault="00946D77" w:rsidP="00946D77">
      <w:pPr>
        <w:spacing w:after="0"/>
        <w:jc w:val="both"/>
        <w:rPr>
          <w:rFonts w:ascii="Times New Roman" w:hAnsi="Times New Roman" w:cs="Times New Roman"/>
          <w:sz w:val="24"/>
          <w:szCs w:val="24"/>
          <w:u w:val="single"/>
          <w:lang w:val="uk-UA"/>
        </w:rPr>
      </w:pPr>
    </w:p>
    <w:p w14:paraId="79586D63" w14:textId="50695E28" w:rsidR="00946D77" w:rsidRPr="005125F8" w:rsidRDefault="00946D77" w:rsidP="00946D77">
      <w:pPr>
        <w:spacing w:after="0"/>
        <w:jc w:val="both"/>
        <w:rPr>
          <w:rFonts w:ascii="Times New Roman" w:hAnsi="Times New Roman" w:cs="Times New Roman"/>
          <w:sz w:val="24"/>
          <w:szCs w:val="24"/>
          <w:u w:val="single"/>
          <w:lang w:val="uk-UA"/>
        </w:rPr>
      </w:pPr>
    </w:p>
    <w:p w14:paraId="754E13A6" w14:textId="4F54AF74" w:rsidR="00946D77" w:rsidRPr="005125F8" w:rsidRDefault="00946D77" w:rsidP="00946D77">
      <w:pPr>
        <w:spacing w:after="0"/>
        <w:jc w:val="both"/>
        <w:rPr>
          <w:rFonts w:ascii="Times New Roman" w:hAnsi="Times New Roman" w:cs="Times New Roman"/>
          <w:sz w:val="24"/>
          <w:szCs w:val="24"/>
          <w:u w:val="single"/>
          <w:lang w:val="uk-UA"/>
        </w:rPr>
      </w:pPr>
    </w:p>
    <w:p w14:paraId="7EDBE18F" w14:textId="546924C8" w:rsidR="00946D77" w:rsidRPr="005125F8" w:rsidRDefault="00946D77" w:rsidP="00946D77">
      <w:pPr>
        <w:spacing w:after="0"/>
        <w:jc w:val="both"/>
        <w:rPr>
          <w:rFonts w:ascii="Times New Roman" w:hAnsi="Times New Roman" w:cs="Times New Roman"/>
          <w:sz w:val="24"/>
          <w:szCs w:val="24"/>
          <w:u w:val="single"/>
          <w:lang w:val="uk-UA"/>
        </w:rPr>
      </w:pPr>
    </w:p>
    <w:p w14:paraId="60B4F3FB" w14:textId="1900D088" w:rsidR="00946D77" w:rsidRPr="005125F8" w:rsidRDefault="00946D77" w:rsidP="00946D77">
      <w:pPr>
        <w:spacing w:after="0"/>
        <w:jc w:val="both"/>
        <w:rPr>
          <w:rFonts w:ascii="Times New Roman" w:hAnsi="Times New Roman" w:cs="Times New Roman"/>
          <w:sz w:val="24"/>
          <w:szCs w:val="24"/>
          <w:u w:val="single"/>
          <w:lang w:val="uk-UA"/>
        </w:rPr>
      </w:pPr>
    </w:p>
    <w:p w14:paraId="4F4CBDE8" w14:textId="77777777" w:rsidR="00946D77" w:rsidRPr="005125F8" w:rsidRDefault="00946D77" w:rsidP="00946D77">
      <w:pPr>
        <w:spacing w:after="0"/>
        <w:jc w:val="both"/>
        <w:rPr>
          <w:rFonts w:ascii="Times New Roman" w:hAnsi="Times New Roman" w:cs="Times New Roman"/>
          <w:sz w:val="24"/>
          <w:szCs w:val="24"/>
          <w:u w:val="single"/>
          <w:lang w:val="uk-UA"/>
        </w:rPr>
      </w:pPr>
    </w:p>
    <w:p w14:paraId="48666DA4" w14:textId="77777777" w:rsidR="00946D77" w:rsidRPr="005125F8" w:rsidRDefault="00946D77" w:rsidP="00946D77">
      <w:pPr>
        <w:spacing w:after="0"/>
        <w:jc w:val="both"/>
        <w:rPr>
          <w:rFonts w:ascii="Times New Roman" w:hAnsi="Times New Roman" w:cs="Times New Roman"/>
          <w:sz w:val="24"/>
          <w:szCs w:val="24"/>
          <w:u w:val="single"/>
          <w:lang w:val="uk-UA"/>
        </w:rPr>
      </w:pPr>
    </w:p>
    <w:p w14:paraId="4E581919" w14:textId="77777777" w:rsidR="00946D77" w:rsidRPr="005125F8" w:rsidRDefault="00946D77" w:rsidP="00946D77">
      <w:pPr>
        <w:spacing w:after="0"/>
        <w:jc w:val="both"/>
        <w:rPr>
          <w:rFonts w:ascii="Times New Roman" w:hAnsi="Times New Roman" w:cs="Times New Roman"/>
          <w:sz w:val="24"/>
          <w:szCs w:val="24"/>
          <w:u w:val="single"/>
          <w:lang w:val="uk-UA"/>
        </w:rPr>
      </w:pPr>
    </w:p>
    <w:p w14:paraId="54EB44FE" w14:textId="1C88FCD4" w:rsidR="00886BD4" w:rsidRPr="005125F8" w:rsidRDefault="005E3ECE" w:rsidP="00946D77">
      <w:pPr>
        <w:spacing w:after="0"/>
        <w:jc w:val="both"/>
        <w:rPr>
          <w:rFonts w:ascii="Times New Roman" w:hAnsi="Times New Roman" w:cs="Times New Roman"/>
          <w:sz w:val="24"/>
          <w:szCs w:val="24"/>
        </w:rPr>
      </w:pPr>
      <w:r>
        <w:rPr>
          <w:rFonts w:ascii="Times New Roman" w:hAnsi="Times New Roman" w:cs="Times New Roman"/>
          <w:sz w:val="24"/>
          <w:szCs w:val="24"/>
        </w:rPr>
        <w:t xml:space="preserve">Дата редакції: 19.08.2026</w:t>
      </w:r>
    </w:p>
    <w:p w14:paraId="751B3727" w14:textId="301FCA3B" w:rsidR="00100A50" w:rsidRPr="005125F8" w:rsidRDefault="00100A50" w:rsidP="00670817">
      <w:pPr>
        <w:spacing w:after="0"/>
        <w:jc w:val="both"/>
        <w:rPr>
          <w:rFonts w:ascii="Times New Roman" w:hAnsi="Times New Roman" w:cs="Times New Roman"/>
          <w:sz w:val="24"/>
          <w:szCs w:val="24"/>
        </w:rPr>
      </w:pPr>
    </w:p>
    <w:p w14:paraId="4E9E0509" w14:textId="77777777" w:rsidR="00100A50" w:rsidRPr="005125F8" w:rsidRDefault="00100A50" w:rsidP="00670817">
      <w:pPr>
        <w:spacing w:after="0"/>
        <w:jc w:val="both"/>
        <w:rPr>
          <w:rFonts w:ascii="Times New Roman" w:hAnsi="Times New Roman" w:cs="Times New Roman"/>
          <w:sz w:val="24"/>
          <w:szCs w:val="24"/>
        </w:rPr>
      </w:pPr>
    </w:p>
    <w:p w14:paraId="28494CE7" w14:textId="4E1E5894" w:rsidR="00886BD4" w:rsidRPr="005125F8" w:rsidRDefault="00886BD4" w:rsidP="00670817">
      <w:pPr>
        <w:spacing w:after="0"/>
        <w:jc w:val="both"/>
        <w:rPr>
          <w:rFonts w:ascii="Times New Roman" w:hAnsi="Times New Roman" w:cs="Times New Roman"/>
          <w:sz w:val="24"/>
          <w:szCs w:val="24"/>
        </w:rPr>
      </w:pPr>
    </w:p>
    <w:p w14:paraId="1F1806CC" w14:textId="77777777" w:rsidR="00886BD4" w:rsidRPr="005125F8" w:rsidRDefault="005E3ECE" w:rsidP="00670817">
      <w:pPr>
        <w:spacing w:after="0"/>
        <w:jc w:val="both"/>
        <w:rPr>
          <w:rFonts w:ascii="Times New Roman" w:hAnsi="Times New Roman" w:cs="Times New Roman"/>
          <w:b/>
          <w:bCs/>
          <w:sz w:val="24"/>
          <w:szCs w:val="24"/>
        </w:rPr>
      </w:pPr>
      <w:r>
        <w:rPr>
          <w:rFonts w:ascii="Times New Roman" w:hAnsi="Times New Roman" w:cs="Times New Roman"/>
          <w:b/>
          <w:bCs/>
          <w:sz w:val="24"/>
          <w:szCs w:val="24"/>
        </w:rPr>
        <w:t>ДОДАТОК 1. КАРТА ОБРОБКИ ДАНИХ</w:t>
      </w:r>
    </w:p>
    <w:tbl>
      <w:tblPr>
        <w:tblStyle w:val="aff0"/>
        <w:tblW w:w="0" w:type="auto"/>
        <w:tblLook w:val="04A0" w:firstRow="1" w:lastRow="0" w:firstColumn="1" w:lastColumn="0" w:noHBand="0" w:noVBand="1"/>
      </w:tblPr>
      <w:tblGrid>
        <w:gridCol w:w="1993"/>
        <w:gridCol w:w="1947"/>
        <w:gridCol w:w="1559"/>
        <w:gridCol w:w="2109"/>
        <w:gridCol w:w="2354"/>
      </w:tblGrid>
      <w:tr w:rsidR="00886BD4" w:rsidRPr="005125F8" w14:paraId="73FEBB78" w14:textId="77777777" w:rsidTr="00100A50">
        <w:tc>
          <w:tcPr>
            <w:tcW w:w="1809" w:type="dxa"/>
          </w:tcPr>
          <w:p w14:paraId="77C9818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Категорія</w:t>
            </w:r>
          </w:p>
        </w:tc>
        <w:tc>
          <w:tcPr>
            <w:tcW w:w="1947" w:type="dxa"/>
          </w:tcPr>
          <w:p w14:paraId="087ABB1D"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Мета</w:t>
            </w:r>
          </w:p>
        </w:tc>
        <w:tc>
          <w:tcPr>
            <w:tcW w:w="1559" w:type="dxa"/>
          </w:tcPr>
          <w:p w14:paraId="6768FB4F"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Дані</w:t>
            </w:r>
          </w:p>
        </w:tc>
        <w:tc>
          <w:tcPr>
            <w:tcW w:w="2109" w:type="dxa"/>
          </w:tcPr>
          <w:p w14:paraId="417DF33F"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Підстава</w:t>
            </w:r>
          </w:p>
        </w:tc>
        <w:tc>
          <w:tcPr>
            <w:tcW w:w="2354" w:type="dxa"/>
          </w:tcPr>
          <w:p w14:paraId="17E980CB"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Строк/правило</w:t>
            </w:r>
          </w:p>
        </w:tc>
      </w:tr>
      <w:tr w:rsidR="00886BD4" w:rsidRPr="005125F8" w14:paraId="4DDBB669" w14:textId="77777777" w:rsidTr="00100A50">
        <w:tc>
          <w:tcPr>
            <w:tcW w:w="1809" w:type="dxa"/>
          </w:tcPr>
          <w:p w14:paraId="0E6ACEA0"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Акаунт</w:t>
            </w:r>
          </w:p>
        </w:tc>
        <w:tc>
          <w:tcPr>
            <w:tcW w:w="1947" w:type="dxa"/>
          </w:tcPr>
          <w:p w14:paraId="3285967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реєстрація/доступ</w:t>
            </w:r>
          </w:p>
        </w:tc>
        <w:tc>
          <w:tcPr>
            <w:tcW w:w="1559" w:type="dxa"/>
          </w:tcPr>
          <w:p w14:paraId="49EADC07"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ПІБ, email, телефон, компанія, ЄДРПОУ, регіон</w:t>
            </w:r>
          </w:p>
        </w:tc>
        <w:tc>
          <w:tcPr>
            <w:tcW w:w="2109" w:type="dxa"/>
          </w:tcPr>
          <w:p w14:paraId="5207CF3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договір</w:t>
            </w:r>
          </w:p>
        </w:tc>
        <w:tc>
          <w:tcPr>
            <w:tcW w:w="2354" w:type="dxa"/>
          </w:tcPr>
          <w:p w14:paraId="10A610B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строк акаунту + 90 днів, якщо немає винятку</w:t>
            </w:r>
          </w:p>
        </w:tc>
      </w:tr>
      <w:tr w:rsidR="00886BD4" w:rsidRPr="005125F8" w14:paraId="096259D3" w14:textId="77777777" w:rsidTr="00100A50">
        <w:tc>
          <w:tcPr>
            <w:tcW w:w="1809" w:type="dxa"/>
          </w:tcPr>
          <w:p w14:paraId="00F1BF01"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Тендери</w:t>
            </w:r>
          </w:p>
        </w:tc>
        <w:tc>
          <w:tcPr>
            <w:tcW w:w="1947" w:type="dxa"/>
          </w:tcPr>
          <w:p w14:paraId="5539293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надання сервісу</w:t>
            </w:r>
          </w:p>
        </w:tc>
        <w:tc>
          <w:tcPr>
            <w:tcW w:w="1559" w:type="dxa"/>
          </w:tcPr>
          <w:p w14:paraId="0CEEB7AA"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ціни, умови, лоти, пропозиції</w:t>
            </w:r>
          </w:p>
        </w:tc>
        <w:tc>
          <w:tcPr>
            <w:tcW w:w="2109" w:type="dxa"/>
          </w:tcPr>
          <w:p w14:paraId="3D08B8CB"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договір</w:t>
            </w:r>
          </w:p>
        </w:tc>
        <w:tc>
          <w:tcPr>
            <w:tcW w:w="2354" w:type="dxa"/>
          </w:tcPr>
          <w:p w14:paraId="12A61AE4"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строк акаунту + 90 днів; агреговані — безстроково</w:t>
            </w:r>
          </w:p>
        </w:tc>
      </w:tr>
      <w:tr w:rsidR="00886BD4" w:rsidRPr="005125F8" w14:paraId="55C3FD5E" w14:textId="77777777" w:rsidTr="00100A50">
        <w:tc>
          <w:tcPr>
            <w:tcW w:w="1809" w:type="dxa"/>
          </w:tcPr>
          <w:p w14:paraId="1D1CA196"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Акцепт/consent_log</w:t>
            </w:r>
          </w:p>
        </w:tc>
        <w:tc>
          <w:tcPr>
            <w:tcW w:w="1947" w:type="dxa"/>
          </w:tcPr>
          <w:p w14:paraId="6E6FB83A"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доказ правочину/згоди</w:t>
            </w:r>
          </w:p>
        </w:tc>
        <w:tc>
          <w:tcPr>
            <w:tcW w:w="1559" w:type="dxa"/>
          </w:tcPr>
          <w:p w14:paraId="4EFB86E0"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час, IP, версія, тип згоди</w:t>
            </w:r>
          </w:p>
        </w:tc>
        <w:tc>
          <w:tcPr>
            <w:tcW w:w="2109" w:type="dxa"/>
          </w:tcPr>
          <w:p w14:paraId="22721851"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договір/юридичний обов'язок/відповідна згода</w:t>
            </w:r>
          </w:p>
        </w:tc>
        <w:tc>
          <w:tcPr>
            <w:tcW w:w="2354" w:type="dxa"/>
          </w:tcPr>
          <w:p w14:paraId="0E1BA63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довше 90 днів, якщо необхідно</w:t>
            </w:r>
          </w:p>
        </w:tc>
      </w:tr>
      <w:tr w:rsidR="00886BD4" w:rsidRPr="005125F8" w14:paraId="25D74271" w14:textId="77777777" w:rsidTr="00100A50">
        <w:tc>
          <w:tcPr>
            <w:tcW w:w="1809" w:type="dxa"/>
          </w:tcPr>
          <w:p w14:paraId="5ADBEF3D"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Email</w:t>
            </w:r>
          </w:p>
        </w:tc>
        <w:tc>
          <w:tcPr>
            <w:tcW w:w="1947" w:type="dxa"/>
          </w:tcPr>
          <w:p w14:paraId="4275ED2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операційні повідомлення</w:t>
            </w:r>
          </w:p>
        </w:tc>
        <w:tc>
          <w:tcPr>
            <w:tcW w:w="1559" w:type="dxa"/>
          </w:tcPr>
          <w:p w14:paraId="41188E0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email, подія/статус</w:t>
            </w:r>
          </w:p>
        </w:tc>
        <w:tc>
          <w:tcPr>
            <w:tcW w:w="2109" w:type="dxa"/>
          </w:tcPr>
          <w:p w14:paraId="660E2CC3"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договір</w:t>
            </w:r>
          </w:p>
        </w:tc>
        <w:tc>
          <w:tcPr>
            <w:tcW w:w="2354" w:type="dxa"/>
          </w:tcPr>
          <w:p w14:paraId="48D81CD7"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необхідний строк</w:t>
            </w:r>
          </w:p>
        </w:tc>
      </w:tr>
      <w:tr w:rsidR="00886BD4" w:rsidRPr="005125F8" w14:paraId="1FC3BE26" w14:textId="77777777" w:rsidTr="00100A50">
        <w:tc>
          <w:tcPr>
            <w:tcW w:w="1809" w:type="dxa"/>
          </w:tcPr>
          <w:p w14:paraId="4E1CB6D3"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Marketing</w:t>
            </w:r>
          </w:p>
        </w:tc>
        <w:tc>
          <w:tcPr>
            <w:tcW w:w="1947" w:type="dxa"/>
          </w:tcPr>
          <w:p w14:paraId="3E9EAB52"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просування</w:t>
            </w:r>
          </w:p>
        </w:tc>
        <w:tc>
          <w:tcPr>
            <w:tcW w:w="1559" w:type="dxa"/>
          </w:tcPr>
          <w:p w14:paraId="681F4D7E"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email та налаштування</w:t>
            </w:r>
          </w:p>
        </w:tc>
        <w:tc>
          <w:tcPr>
            <w:tcW w:w="2109" w:type="dxa"/>
          </w:tcPr>
          <w:p w14:paraId="13ECB969"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окрема підстава/згода, де потрібно</w:t>
            </w:r>
          </w:p>
        </w:tc>
        <w:tc>
          <w:tcPr>
            <w:tcW w:w="2354" w:type="dxa"/>
          </w:tcPr>
          <w:p w14:paraId="7B91B46D"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 відмови/необхідного строку</w:t>
            </w:r>
          </w:p>
        </w:tc>
      </w:tr>
      <w:tr w:rsidR="00886BD4" w:rsidRPr="005125F8" w14:paraId="5B818921" w14:textId="77777777" w:rsidTr="00100A50">
        <w:tc>
          <w:tcPr>
            <w:tcW w:w="1809" w:type="dxa"/>
          </w:tcPr>
          <w:p w14:paraId="336277B8"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Telegram</w:t>
            </w:r>
          </w:p>
        </w:tc>
        <w:tc>
          <w:tcPr>
            <w:tcW w:w="1947" w:type="dxa"/>
          </w:tcPr>
          <w:p w14:paraId="6397A55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обраний канал</w:t>
            </w:r>
          </w:p>
        </w:tc>
        <w:tc>
          <w:tcPr>
            <w:tcW w:w="1559" w:type="dxa"/>
          </w:tcPr>
          <w:p w14:paraId="4BAF9A41"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Telegram ID</w:t>
            </w:r>
          </w:p>
        </w:tc>
        <w:tc>
          <w:tcPr>
            <w:tcW w:w="2109" w:type="dxa"/>
          </w:tcPr>
          <w:p w14:paraId="2ABD95AB"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окрема дія + договір</w:t>
            </w:r>
          </w:p>
        </w:tc>
        <w:tc>
          <w:tcPr>
            <w:tcW w:w="2354" w:type="dxa"/>
          </w:tcPr>
          <w:p w14:paraId="462383BB"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 вимкнення/видалення</w:t>
            </w:r>
          </w:p>
        </w:tc>
      </w:tr>
      <w:tr w:rsidR="00886BD4" w:rsidRPr="005125F8" w14:paraId="13B2676D" w14:textId="77777777" w:rsidTr="00100A50">
        <w:tc>
          <w:tcPr>
            <w:tcW w:w="1809" w:type="dxa"/>
          </w:tcPr>
          <w:p w14:paraId="13769BEB"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Push</w:t>
            </w:r>
          </w:p>
        </w:tc>
        <w:tc>
          <w:tcPr>
            <w:tcW w:w="1947" w:type="dxa"/>
          </w:tcPr>
          <w:p w14:paraId="4848538C"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обраний канал</w:t>
            </w:r>
          </w:p>
        </w:tc>
        <w:tc>
          <w:tcPr>
            <w:tcW w:w="1559" w:type="dxa"/>
          </w:tcPr>
          <w:p w14:paraId="19B9FF26"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endpoint/token, технічні metadata</w:t>
            </w:r>
          </w:p>
        </w:tc>
        <w:tc>
          <w:tcPr>
            <w:tcW w:w="2109" w:type="dxa"/>
          </w:tcPr>
          <w:p w14:paraId="0F7E0DC1"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opt-in</w:t>
            </w:r>
          </w:p>
        </w:tc>
        <w:tc>
          <w:tcPr>
            <w:tcW w:w="2354" w:type="dxa"/>
          </w:tcPr>
          <w:p w14:paraId="71E25A62"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 відкликання/видалення</w:t>
            </w:r>
          </w:p>
        </w:tc>
      </w:tr>
      <w:tr w:rsidR="00886BD4" w:rsidRPr="005125F8" w14:paraId="1F9CC6C3" w14:textId="77777777" w:rsidTr="00100A50">
        <w:tc>
          <w:tcPr>
            <w:tcW w:w="1809" w:type="dxa"/>
          </w:tcPr>
          <w:p w14:paraId="3E3683F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Платежі</w:t>
            </w:r>
          </w:p>
        </w:tc>
        <w:tc>
          <w:tcPr>
            <w:tcW w:w="1947" w:type="dxa"/>
          </w:tcPr>
          <w:p w14:paraId="4C713328"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оплата</w:t>
            </w:r>
          </w:p>
        </w:tc>
        <w:tc>
          <w:tcPr>
            <w:tcW w:w="1559" w:type="dxa"/>
          </w:tcPr>
          <w:p w14:paraId="2DC4679D"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сума, статус, payment ID</w:t>
            </w:r>
          </w:p>
        </w:tc>
        <w:tc>
          <w:tcPr>
            <w:tcW w:w="2109" w:type="dxa"/>
          </w:tcPr>
          <w:p w14:paraId="62C7C2F5"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договір/закон</w:t>
            </w:r>
          </w:p>
        </w:tc>
        <w:tc>
          <w:tcPr>
            <w:tcW w:w="2354" w:type="dxa"/>
          </w:tcPr>
          <w:p w14:paraId="248F1170"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за законом</w:t>
            </w:r>
          </w:p>
        </w:tc>
      </w:tr>
      <w:tr w:rsidR="00886BD4" w:rsidRPr="005125F8" w14:paraId="3DAE9440" w14:textId="77777777" w:rsidTr="00100A50">
        <w:tc>
          <w:tcPr>
            <w:tcW w:w="1809" w:type="dxa"/>
          </w:tcPr>
          <w:p w14:paraId="5C81EED8"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Безпека</w:t>
            </w:r>
          </w:p>
        </w:tc>
        <w:tc>
          <w:tcPr>
            <w:tcW w:w="1947" w:type="dxa"/>
          </w:tcPr>
          <w:p w14:paraId="7FB4C3A9"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захист/діагностика</w:t>
            </w:r>
          </w:p>
        </w:tc>
        <w:tc>
          <w:tcPr>
            <w:tcW w:w="1559" w:type="dxa"/>
          </w:tcPr>
          <w:p w14:paraId="54C31983"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IP, логи, технічні події</w:t>
            </w:r>
          </w:p>
        </w:tc>
        <w:tc>
          <w:tcPr>
            <w:tcW w:w="2109" w:type="dxa"/>
          </w:tcPr>
          <w:p w14:paraId="5BB69ED0"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договір/законний інтерес/закон</w:t>
            </w:r>
          </w:p>
        </w:tc>
        <w:tc>
          <w:tcPr>
            <w:tcW w:w="2354" w:type="dxa"/>
          </w:tcPr>
          <w:p w14:paraId="07F784CE" w14:textId="77777777" w:rsidR="00886BD4" w:rsidRPr="005125F8" w:rsidRDefault="005E3ECE" w:rsidP="00670817">
            <w:pPr>
              <w:jc w:val="both"/>
              <w:rPr>
                <w:rFonts w:ascii="Times New Roman" w:hAnsi="Times New Roman" w:cs="Times New Roman"/>
                <w:sz w:val="24"/>
                <w:szCs w:val="24"/>
              </w:rPr>
            </w:pPr>
            <w:r>
              <w:rPr>
                <w:rFonts w:ascii="Times New Roman" w:hAnsi="Times New Roman" w:cs="Times New Roman"/>
                <w:sz w:val="24"/>
                <w:szCs w:val="24"/>
              </w:rPr>
              <w:t xml:space="preserve">необхідний строк</w:t>
            </w:r>
          </w:p>
        </w:tc>
      </w:tr>
    </w:tbl>
    <w:p w14:paraId="29B6F94D" w14:textId="77777777" w:rsidR="00100A50" w:rsidRPr="005125F8" w:rsidRDefault="00100A50" w:rsidP="00670817">
      <w:pPr>
        <w:spacing w:after="0"/>
        <w:jc w:val="both"/>
        <w:rPr>
          <w:rFonts w:ascii="Times New Roman" w:hAnsi="Times New Roman" w:cs="Times New Roman"/>
          <w:sz w:val="24"/>
          <w:szCs w:val="24"/>
        </w:rPr>
      </w:pPr>
    </w:p>
    <w:p w14:paraId="6D7A24AD" w14:textId="28DFBAF3" w:rsidR="00886BD4" w:rsidRPr="005125F8" w:rsidRDefault="00886BD4" w:rsidP="00670817">
      <w:pPr>
        <w:spacing w:after="0"/>
        <w:jc w:val="both"/>
        <w:rPr>
          <w:rFonts w:ascii="Times New Roman" w:hAnsi="Times New Roman" w:cs="Times New Roman"/>
          <w:sz w:val="24"/>
          <w:szCs w:val="24"/>
        </w:rPr>
      </w:pPr>
    </w:p>
    <w:sectPr w:rsidR="00886BD4" w:rsidRPr="005125F8" w:rsidSect="00034616">
      <w:footerReference w:type="default" r:id="rId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25D50" w14:textId="77777777" w:rsidR="00F26B94" w:rsidRDefault="00F26B94">
      <w:pPr>
        <w:spacing w:after="0" w:line="240" w:lineRule="auto"/>
        <w:rPr>
          <w:rFonts w:hint="eastAsia"/>
        </w:rPr>
      </w:pPr>
      <w:r>
        <w:separator/>
      </w:r>
    </w:p>
  </w:endnote>
  <w:endnote w:type="continuationSeparator" w:id="0">
    <w:p w14:paraId="1C80BA5A" w14:textId="77777777" w:rsidR="00F26B94" w:rsidRDefault="00F26B9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3B9C6" w14:textId="77777777" w:rsidR="00886BD4" w:rsidRDefault="005E3ECE">
    <w:pPr>
      <w:pStyle w:val="a7"/>
      <w:jc w:val="center"/>
      <w:rPr>
        <w:rFonts w:hint="eastAsia"/>
      </w:rPr>
    </w:pPr>
    <w:r>
      <w:t xml:space="preserve">LotEazy · Політика конфіденційності v4.1 · </w:t>
    </w:r>
    <w:r>
      <w:fldChar w:fldCharType="begin"/>
    </w:r>
    <w:r>
      <w:instrText>PAGE</w:instrText>
    </w:r>
    <w:r>
      <w:fldChar w:fldCharType="separate"/>
    </w:r>
    <w:r w:rsidR="00100A50">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6C85F" w14:textId="77777777" w:rsidR="00F26B94" w:rsidRDefault="00F26B94">
      <w:pPr>
        <w:spacing w:after="0" w:line="240" w:lineRule="auto"/>
        <w:rPr>
          <w:rFonts w:hint="eastAsia"/>
        </w:rPr>
      </w:pPr>
      <w:r>
        <w:separator/>
      </w:r>
    </w:p>
  </w:footnote>
  <w:footnote w:type="continuationSeparator" w:id="0">
    <w:p w14:paraId="3BD043D0" w14:textId="77777777" w:rsidR="00F26B94" w:rsidRDefault="00F26B9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FDE147E"/>
    <w:multiLevelType w:val="hybridMultilevel"/>
    <w:tmpl w:val="CF406F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26064D0"/>
    <w:multiLevelType w:val="hybridMultilevel"/>
    <w:tmpl w:val="7FA2E44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A50"/>
    <w:rsid w:val="0015074B"/>
    <w:rsid w:val="0029639D"/>
    <w:rsid w:val="00326F90"/>
    <w:rsid w:val="005125F8"/>
    <w:rsid w:val="00575260"/>
    <w:rsid w:val="005E3ECE"/>
    <w:rsid w:val="005E6EA6"/>
    <w:rsid w:val="00653333"/>
    <w:rsid w:val="00670817"/>
    <w:rsid w:val="00831464"/>
    <w:rsid w:val="00886BD4"/>
    <w:rsid w:val="00946D77"/>
    <w:rsid w:val="00AA1D8D"/>
    <w:rsid w:val="00B47730"/>
    <w:rsid w:val="00CB0664"/>
    <w:rsid w:val="00CF7967"/>
    <w:rsid w:val="00EE24F1"/>
    <w:rsid w:val="00F26B94"/>
    <w:rsid w:val="00F40B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A50BA"/>
  <w14:defaultImageDpi w14:val="300"/>
  <w15:docId w15:val="{EA49B701-DE25-4436-A275-F1E95BAE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ptos" w:hAnsi="Aptos"/>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9EA6A-786A-4709-B2BA-3AC6B2C7E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8772</Words>
  <Characters>5001</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Елена Буханченко</cp:lastModifiedBy>
  <cp:revision>26</cp:revision>
  <dcterms:created xsi:type="dcterms:W3CDTF">2013-12-23T23:15:00Z</dcterms:created>
  <dcterms:modified xsi:type="dcterms:W3CDTF">2026-08-19T09:10:00Z</dcterms:modified>
  <cp:category/>
</cp:coreProperties>
</file>